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jpeg" ContentType="image/jpeg"/>
  <Override PartName="/word/media/image2.wmf" ContentType="image/x-wmf"/>
  <Override PartName="/word/embeddings/oleObject1.bin" ContentType="application/vnd.openxmlformats-officedocument.oleObjec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word/_rels/document.xml.rels" ContentType="application/vnd.openxmlformats-package.relationships+xml"/>
  <Override PartName="/customXml/item1.xml" ContentType="application/xml"/>
  <Override PartName="/customXml/itemProps3.xml" ContentType="application/vnd.openxmlformats-officedocument.customXmlProperties+xml"/>
  <Override PartName="/customXml/itemProps1.xml" ContentType="application/vnd.openxmlformats-officedocument.customXmlProperties+xml"/>
  <Override PartName="/customXml/item2.xml" ContentType="application/xml"/>
  <Override PartName="/customXml/itemProps2.xml" ContentType="application/vnd.openxmlformats-officedocument.customXmlProperties+xml"/>
  <Override PartName="/customXml/_rels/item1.xml.rels" ContentType="application/vnd.openxmlformats-package.relationships+xml"/>
  <Override PartName="/customXml/_rels/item2.xml.rels" ContentType="application/vnd.openxmlformats-package.relationships+xml"/>
  <Override PartName="/customXml/_rels/item3.xml.rels" ContentType="application/vnd.openxmlformats-package.relationships+xml"/>
  <Override PartName="/customXml/item3.xml" ContentType="application/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rPr/>
      </w:pPr>
      <w:r>
        <w:rPr/>
        <w:drawing>
          <wp:anchor behindDoc="1" distT="0" distB="0" distL="0" distR="0" simplePos="0" locked="0" layoutInCell="1" allowOverlap="1" relativeHeight="2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0" t="0" r="0" b="0"/>
            <wp:wrapNone/>
            <wp:docPr id="1" name="Obraz 1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kol pol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object>
          <v:shapetype id="_x0000_tole_rId3" coordsize="21600,21600" o:spt="ole_rId3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le_rId3" type="_x0000_tole_rId3" style="width:49.5pt;height:63pt;mso-wrap-distance-right:0pt" filled="f" o:ole="">
            <v:imagedata r:id="rId4" o:title=""/>
          </v:shape>
          <o:OLEObject Type="Embed" ProgID="CorelDraw.Graphic.15" ShapeID="ole_rId3" DrawAspect="Content" ObjectID="_1151560808" r:id="rId3"/>
        </w:object>
      </w:r>
    </w:p>
    <w:p>
      <w:pPr>
        <w:pStyle w:val="Normal"/>
        <w:spacing w:lineRule="auto" w:line="276"/>
        <w:jc w:val="center"/>
        <w:rPr>
          <w:rFonts w:eastAsia="Calibri"/>
          <w:b/>
          <w:spacing w:val="30"/>
          <w:lang w:eastAsia="en-US"/>
        </w:rPr>
      </w:pPr>
      <w:r>
        <w:rPr>
          <w:rFonts w:eastAsia="Calibri"/>
          <w:b/>
          <w:spacing w:val="30"/>
          <w:lang w:eastAsia="en-US"/>
        </w:rPr>
        <w:t>SYLABUS ZAJĘĆ</w:t>
      </w:r>
    </w:p>
    <w:p>
      <w:pPr>
        <w:pStyle w:val="Normal"/>
        <w:spacing w:lineRule="auto" w:line="276"/>
        <w:jc w:val="center"/>
        <w:rPr>
          <w:rFonts w:eastAsia="Calibri"/>
          <w:b/>
          <w:spacing w:val="30"/>
          <w:lang w:eastAsia="en-US"/>
        </w:rPr>
      </w:pPr>
      <w:r>
        <w:rPr>
          <w:rFonts w:eastAsia="Calibri"/>
          <w:b/>
          <w:spacing w:val="30"/>
          <w:lang w:eastAsia="en-US"/>
        </w:rPr>
        <w:t>Informacje ogólne</w:t>
      </w:r>
    </w:p>
    <w:p>
      <w:pPr>
        <w:pStyle w:val="Normal"/>
        <w:spacing w:lineRule="auto" w:line="276"/>
        <w:rPr>
          <w:rFonts w:eastAsia="Calibri"/>
          <w:b/>
          <w:spacing w:val="30"/>
          <w:lang w:eastAsia="en-US"/>
        </w:rPr>
      </w:pPr>
      <w:r>
        <w:rPr>
          <w:rFonts w:eastAsia="Calibri"/>
          <w:b/>
          <w:spacing w:val="30"/>
          <w:lang w:eastAsia="en-US"/>
        </w:rPr>
      </w:r>
    </w:p>
    <w:tbl>
      <w:tblPr>
        <w:tblW w:w="9356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20"/>
        <w:gridCol w:w="4635"/>
      </w:tblGrid>
      <w:tr>
        <w:trPr>
          <w:trHeight w:val="397" w:hRule="atLeast"/>
        </w:trPr>
        <w:tc>
          <w:tcPr>
            <w:tcW w:w="93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Nazwa ZAJĘĆ: </w:t>
            </w:r>
            <w:r>
              <w:rPr>
                <w:rFonts w:eastAsia="Calibri"/>
                <w:b w:val="false"/>
                <w:bCs w:val="false"/>
                <w:i w:val="false"/>
                <w:iCs w:val="false"/>
                <w:lang w:eastAsia="en-US"/>
              </w:rPr>
              <w:t>Współpraca w zespołach opieki zdrowotnej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Rodzaj ZAJĘĆ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b/>
                <w:bCs/>
                <w:i/>
                <w:iCs/>
                <w:lang w:eastAsia="en-US"/>
              </w:rPr>
              <w:t>Obieralny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Wydział PUM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Wydział Nauk o Zdrowiu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Kierunek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Położnictwo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Specjalność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n/d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Poziom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jednolite magisterskie □</w:t>
            </w:r>
          </w:p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b/>
                <w:bCs/>
                <w:i/>
                <w:iCs/>
                <w:lang w:eastAsia="en-US"/>
              </w:rPr>
              <w:t>I stopnia</w:t>
            </w:r>
            <w:r>
              <w:rPr>
                <w:rFonts w:eastAsia="Calibri"/>
                <w:b/>
                <w:bCs/>
                <w:i/>
                <w:iCs/>
                <w:sz w:val="28"/>
                <w:szCs w:val="28"/>
                <w:lang w:eastAsia="en-US"/>
              </w:rPr>
              <w:t xml:space="preserve"> </w:t>
            </w:r>
            <w:r>
              <w:rPr>
                <w:rFonts w:eastAsia="Calibri"/>
                <w:b/>
                <w:bCs/>
                <w:i/>
                <w:iCs/>
                <w:lang w:eastAsia="en-US"/>
              </w:rPr>
              <w:t>X</w:t>
            </w:r>
          </w:p>
          <w:p>
            <w:pPr>
              <w:pStyle w:val="Normal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II stopnia □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Forma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b/>
                <w:bCs/>
                <w:i/>
                <w:lang w:eastAsia="en-US"/>
              </w:rPr>
              <w:t>stacjonarne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Rok studiów /semestr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2 rok/1 semestr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Liczba przypisanych punktów ECTS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1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Formy prowadzenia zajęć (liczba godzin)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wykłady – 2h</w:t>
            </w:r>
          </w:p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ćwiczenia – 28h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Sposoby weryfikacji i oceny efektów uczenia się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- zaliczenie na ocenę:</w:t>
            </w:r>
          </w:p>
          <w:p>
            <w:pPr>
              <w:pStyle w:val="Normal"/>
              <w:rPr>
                <w:rFonts w:eastAsia="Calibri"/>
                <w:bCs/>
                <w:i/>
                <w:i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□</w:t>
            </w:r>
            <w:r>
              <w:rPr/>
              <w:tab/>
            </w:r>
            <w:r>
              <w:rPr>
                <w:rFonts w:eastAsia="Calibri"/>
                <w:i/>
                <w:iCs/>
                <w:lang w:eastAsia="en-US"/>
              </w:rPr>
              <w:t>opisowe</w:t>
            </w:r>
          </w:p>
          <w:p>
            <w:pPr>
              <w:pStyle w:val="Normal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□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 xml:space="preserve">         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testowe</w:t>
            </w:r>
          </w:p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b/>
                <w:bCs/>
                <w:i/>
                <w:iCs/>
                <w:lang w:eastAsia="en-US"/>
              </w:rPr>
              <w:t>X</w:t>
            </w:r>
            <w:r>
              <w:rPr/>
              <w:tab/>
            </w:r>
            <w:r>
              <w:rPr>
                <w:rFonts w:eastAsia="Calibri"/>
                <w:b/>
                <w:bCs/>
                <w:i/>
                <w:iCs/>
                <w:lang w:eastAsia="en-US"/>
              </w:rPr>
              <w:t>praktyczne</w:t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□</w:t>
            </w:r>
            <w:r>
              <w:rPr>
                <w:rFonts w:eastAsia="Calibri"/>
                <w:i/>
                <w:lang w:eastAsia="en-US"/>
              </w:rPr>
              <w:tab/>
              <w:t>ustne</w:t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</w:r>
          </w:p>
          <w:p>
            <w:pPr>
              <w:pStyle w:val="Normal"/>
              <w:numPr>
                <w:ilvl w:val="0"/>
                <w:numId w:val="5"/>
              </w:numPr>
              <w:ind w:hanging="360" w:left="347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zaliczenie bez oceny</w:t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- egzamin końcowy: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opisowy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testowy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praktyczny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ustny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Kierownik jednostki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Cs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Prof. dr hab. n. zdr. Beata Karakiewicz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Adiunkt dydaktyczny lub osoba odpowiedzialna za przedmiot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mgr Krzysztof Dąbrowski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Nazwa i dane kontaktowe jednostki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Web"/>
              <w:spacing w:beforeAutospacing="0" w:before="0" w:afterAutospacing="0" w:after="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Katedra Medycyny Społecznej.</w:t>
            </w:r>
          </w:p>
          <w:p>
            <w:pPr>
              <w:pStyle w:val="NormalWeb"/>
              <w:spacing w:beforeAutospacing="0" w:before="0" w:afterAutospacing="0" w:after="0"/>
              <w:rPr>
                <w:rFonts w:eastAsia="Calibri"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Zakład Medycyny Społecznej i Zdrowia Publicznego; Pomorski Uniwersytet Medyczny w Szczecinie,</w:t>
            </w:r>
            <w:r>
              <w:rPr>
                <w:rFonts w:eastAsia="Calibri"/>
                <w:lang w:eastAsia="en-US"/>
              </w:rPr>
              <w:t xml:space="preserve"> </w:t>
            </w:r>
            <w:r>
              <w:rPr/>
              <w:br/>
            </w:r>
            <w:r>
              <w:rPr>
                <w:rFonts w:eastAsia="Calibri"/>
                <w:lang w:eastAsia="en-US"/>
              </w:rPr>
              <w:t>ul. Żołnierska 48, pok. 303,</w:t>
            </w:r>
          </w:p>
          <w:p>
            <w:pPr>
              <w:pStyle w:val="NormalWeb"/>
              <w:spacing w:beforeAutospacing="0" w:before="0" w:afterAutospacing="0" w:after="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71-210 Szczecin. tel. +48 91 48 00 920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Strona internetowa jednostki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https://www.pum.edu.pl/studenci/informacje_z_jednostek/wnoz/katedra_medycyny_spolecznej/zaklad_medycyny_spolecznej_i_zdrowia_publicznego/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Język prowadzenia zajęć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tabs>
                <w:tab w:val="clear" w:pos="708"/>
                <w:tab w:val="left" w:pos="4073" w:leader="none"/>
              </w:tabs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b/>
                <w:i/>
                <w:lang w:eastAsia="en-US"/>
              </w:rPr>
              <w:t>polski</w:t>
            </w:r>
          </w:p>
        </w:tc>
      </w:tr>
    </w:tbl>
    <w:p>
      <w:pPr>
        <w:pStyle w:val="Normal"/>
        <w:spacing w:lineRule="auto" w:line="276" w:before="0" w:after="200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</w:r>
    </w:p>
    <w:p>
      <w:pPr>
        <w:pStyle w:val="Normal"/>
        <w:spacing w:lineRule="auto" w:line="276" w:before="0" w:after="200"/>
        <w:rPr>
          <w:rFonts w:eastAsia="Calibri"/>
          <w:b/>
          <w:lang w:eastAsia="en-US"/>
        </w:rPr>
      </w:pPr>
      <w:r>
        <w:rPr>
          <w:rFonts w:eastAsia="Calibri"/>
          <w:b/>
          <w:bCs/>
          <w:lang w:eastAsia="en-US"/>
        </w:rPr>
        <w:t xml:space="preserve">     </w:t>
      </w:r>
      <w:r>
        <w:rPr>
          <w:rFonts w:eastAsia="Calibri"/>
          <w:b/>
          <w:bCs/>
          <w:lang w:eastAsia="en-US"/>
        </w:rPr>
        <w:t>*zaznaczyć odpowiednio, zmieniając □ na X</w:t>
      </w:r>
    </w:p>
    <w:p>
      <w:pPr>
        <w:pStyle w:val="Normal"/>
        <w:spacing w:lineRule="auto" w:line="276" w:before="0" w:after="200"/>
        <w:jc w:val="center"/>
        <w:rPr>
          <w:rFonts w:eastAsia="Calibri"/>
          <w:b/>
          <w:bCs/>
          <w:lang w:eastAsia="en-US"/>
        </w:rPr>
      </w:pPr>
      <w:r>
        <w:rPr>
          <w:rFonts w:eastAsia="Calibri"/>
          <w:b/>
          <w:bCs/>
          <w:lang w:eastAsia="en-US"/>
        </w:rPr>
        <w:t>Informacje szczegółowe</w:t>
      </w:r>
    </w:p>
    <w:tbl>
      <w:tblPr>
        <w:tblW w:w="9552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2392"/>
        <w:gridCol w:w="1888"/>
        <w:gridCol w:w="5272"/>
      </w:tblGrid>
      <w:tr>
        <w:trPr>
          <w:trHeight w:val="397" w:hRule="atLeast"/>
        </w:trPr>
        <w:tc>
          <w:tcPr>
            <w:tcW w:w="42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Cele zajęć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>
                <w:rFonts w:eastAsia="Calibri"/>
                <w:lang w:eastAsia="en-US"/>
              </w:rPr>
              <w:t>Celem zajęć jest nabycie przez studentów umiejętności wykorzystania technik komunikacji i kanałów komunikacji do pracy z pacjentem, jego rodziną, współpracownikami i przełożonym w celu zwiększenia efektywności współpracy w zespole opieki zdrowotnej.</w:t>
            </w:r>
          </w:p>
          <w:p>
            <w:pPr>
              <w:pStyle w:val="Normal"/>
              <w:rPr/>
            </w:pPr>
            <w:r>
              <w:rPr>
                <w:rFonts w:eastAsia="Calibri"/>
                <w:lang w:eastAsia="en-US"/>
              </w:rPr>
              <w:t>Nabycie wiedzy wykorzystania różnych socjotechnik (perswazji, wywierania wpływu) dla poprawy komunikacji interpersonalnej i efektywniejszego realizowania zamierzonych celów w pracy z pacjentem i życiu osobistym.</w:t>
            </w:r>
          </w:p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/>
            </w:pPr>
            <w:r>
              <w:rPr>
                <w:rFonts w:eastAsia="Calibri"/>
                <w:lang w:eastAsia="en-US"/>
              </w:rPr>
              <w:t>Wykształcenie umiejętności pracy własnej z przekonaniami, wartościami, tożsamością i misją, jak i pracy na tych poziomach ze współpracownikami i pacjentami.</w:t>
            </w:r>
          </w:p>
        </w:tc>
      </w:tr>
      <w:tr>
        <w:trPr>
          <w:trHeight w:val="397" w:hRule="atLeast"/>
        </w:trPr>
        <w:tc>
          <w:tcPr>
            <w:tcW w:w="23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highlight w:val="yellow"/>
                <w:lang w:eastAsia="en-US"/>
              </w:rPr>
            </w:pPr>
            <w:r>
              <w:rPr>
                <w:rFonts w:eastAsia="Calibri"/>
                <w:lang w:eastAsia="en-US"/>
              </w:rPr>
              <w:t>Wymagania wstępne w zakresie</w:t>
            </w:r>
          </w:p>
        </w:tc>
        <w:tc>
          <w:tcPr>
            <w:tcW w:w="1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i w:val="false"/>
                <w:i w:val="false"/>
                <w:iCs w:val="false"/>
              </w:rPr>
            </w:pPr>
            <w:r>
              <w:rPr>
                <w:rFonts w:eastAsia="Calibri"/>
                <w:i w:val="false"/>
                <w:iCs w:val="false"/>
                <w:lang w:eastAsia="en-US"/>
              </w:rPr>
              <w:t>Podstawowe umiejętności komunikacyjne oraz wiedza w zakresie organizacji i funkcjonowania podstawowej opieki zdrowotnej w Polsce i na świecie, z uwzględnieniem zadań pielęgniarki i innych pracowników ochrony zdrowia</w:t>
            </w:r>
          </w:p>
        </w:tc>
      </w:tr>
      <w:tr>
        <w:trPr>
          <w:trHeight w:val="397" w:hRule="atLeast"/>
        </w:trPr>
        <w:tc>
          <w:tcPr>
            <w:tcW w:w="239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1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i w:val="false"/>
                <w:iCs w:val="false"/>
                <w:lang w:eastAsia="en-US"/>
              </w:rPr>
              <w:t>Współpracy w grupie i zasad działania zespołu</w:t>
            </w:r>
          </w:p>
        </w:tc>
      </w:tr>
      <w:tr>
        <w:trPr>
          <w:trHeight w:val="397" w:hRule="atLeast"/>
        </w:trPr>
        <w:tc>
          <w:tcPr>
            <w:tcW w:w="239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1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i w:val="false"/>
                <w:iCs w:val="false"/>
                <w:lang w:eastAsia="en-US"/>
              </w:rPr>
              <w:t>Otwartość, wrażliwość na innych oraz szacunek do rozmówcy</w:t>
            </w:r>
          </w:p>
        </w:tc>
      </w:tr>
    </w:tbl>
    <w:p>
      <w:pPr>
        <w:pStyle w:val="Normal"/>
        <w:spacing w:lineRule="auto" w:line="276" w:before="0" w:after="200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tbl>
      <w:tblPr>
        <w:tblW w:w="10065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1778"/>
        <w:gridCol w:w="2846"/>
        <w:gridCol w:w="472"/>
        <w:gridCol w:w="115"/>
        <w:gridCol w:w="614"/>
        <w:gridCol w:w="612"/>
        <w:gridCol w:w="611"/>
        <w:gridCol w:w="739"/>
        <w:gridCol w:w="485"/>
        <w:gridCol w:w="611"/>
        <w:gridCol w:w="618"/>
        <w:gridCol w:w="559"/>
        <w:gridCol w:w="3"/>
      </w:tblGrid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EFEKTY UCZENIA SIĘ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563" w:hRule="atLeast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lp. efektu uczenia się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Student, który zaliczył ZAJĘCIA</w:t>
            </w:r>
          </w:p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wie/umie/potrafi:</w:t>
            </w:r>
          </w:p>
        </w:tc>
        <w:tc>
          <w:tcPr>
            <w:tcW w:w="2576" w:type="dxa"/>
            <w:gridSpan w:val="4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SYMBOL</w:t>
            </w:r>
          </w:p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(odniesienie do)</w:t>
            </w:r>
          </w:p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efektów uczenia się dla kierunku</w:t>
            </w:r>
          </w:p>
        </w:tc>
        <w:tc>
          <w:tcPr>
            <w:tcW w:w="2273" w:type="dxa"/>
            <w:gridSpan w:val="4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Sposób weryfikacji efektów UCZENIA SIĘ*</w:t>
            </w:r>
          </w:p>
          <w:p>
            <w:pPr>
              <w:pStyle w:val="Normal"/>
              <w:spacing w:lineRule="auto" w:line="276"/>
              <w:jc w:val="center"/>
              <w:rPr>
                <w:b/>
                <w:strike/>
              </w:rPr>
            </w:pPr>
            <w:r>
              <w:rPr>
                <w:b/>
                <w:strike/>
              </w:rPr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W01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</w:tcPr>
          <w:p>
            <w:pPr>
              <w:pStyle w:val="Normal"/>
              <w:spacing w:lineRule="auto" w:line="276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  <w:lang w:val="pl-PL"/>
              </w:rPr>
              <w:t>wytłumaczyć problematykę relacji człowiek – środowisko społeczne i wskazać mechanizmy funkcjonowania człowieka w sytuacjach trudnych;</w:t>
            </w:r>
          </w:p>
        </w:tc>
        <w:tc>
          <w:tcPr>
            <w:tcW w:w="257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B.W2</w:t>
            </w:r>
          </w:p>
        </w:tc>
        <w:tc>
          <w:tcPr>
            <w:tcW w:w="2273" w:type="dxa"/>
            <w:gridSpan w:val="4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W02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  <w:lang w:val="pl-PL"/>
              </w:rPr>
              <w:t>opisać istotę, strukturę i zjawiska zachodzące w procesie przekazywania i wymiany informacji oraz wskazać modele i style komunikacji interpersonalnej;</w:t>
            </w:r>
          </w:p>
        </w:tc>
        <w:tc>
          <w:tcPr>
            <w:tcW w:w="257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B.W8</w:t>
            </w:r>
          </w:p>
        </w:tc>
        <w:tc>
          <w:tcPr>
            <w:tcW w:w="2273" w:type="dxa"/>
            <w:gridSpan w:val="4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W03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opisać zakres interakcji społecznej i proces socjalizacji oraz działanie lokalnych społeczności i ekosystemu;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B.W17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W04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określić priorytety pracy zespołowej i czynniki wpływające na efektywność; pracy zespołu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B.W44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W05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wyszczególnić znaczenie motywacji członków zespołu dla jakości i efektywności pracy zespołu;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B.W45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W06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przedstawić rolę przywództwa i style zarządzania w pracy zespołowej oraz ich wady i zalety;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B.W46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W07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przeprowadzić proces podejmowania decyzji w zespole;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B.W47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W08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opisać metody samooceny pracy zespołu;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B.W48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W09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opisać czynniki zakłócające pracę zespołową i metody rozwiązywania konfliktów w zespole;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B.W49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U01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identyfikować błędy i bariery w procesie komunikowania się w sytuacjach trudnych, wykazywać umiejętność aktywnego słuchania oraz tworzyć warunki do prawidłowej komunikacji z pacjentką i członkami zespołu interprofesjonalnego;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B.U8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S, PS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U02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identyfikować czynniki zakłócające pracę zespołu i wskazywać sposoby zwiększenia efektywności w pracy zespołowej;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B.U24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S, PS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U03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wskazywać sposoby rozwiązywania problemów przedstawianych przez członków zespołu;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B.U25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S, PS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U04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stosować zasady prawidłowej i efektywnej komunikacji z członkami zespołu interprofesjonalnego;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B.U26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S, PS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spacing w:lineRule="auto" w:line="276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Tabela efektów UCZENIA SIĘ</w:t>
            </w:r>
            <w:r>
              <w:rPr>
                <w:rFonts w:eastAsia="Calibri"/>
                <w:b/>
                <w:lang w:eastAsia="en-US"/>
              </w:rPr>
              <w:t xml:space="preserve"> w odniesieniu do formy zajęć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23" w:hRule="atLeast"/>
          <w:cantSplit w:val="true"/>
        </w:trPr>
        <w:tc>
          <w:tcPr>
            <w:tcW w:w="1778" w:type="dxa"/>
            <w:vMerge w:val="restart"/>
            <w:tcBorders>
              <w:top w:val="single" w:sz="6" w:space="0" w:color="000000"/>
              <w:left w:val="single" w:sz="6" w:space="0" w:color="000000"/>
              <w:bottom w:val="double" w:sz="4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lp. efektu uczenia się</w:t>
            </w:r>
          </w:p>
        </w:tc>
        <w:tc>
          <w:tcPr>
            <w:tcW w:w="3433" w:type="dxa"/>
            <w:gridSpan w:val="3"/>
            <w:vMerge w:val="restart"/>
            <w:tcBorders>
              <w:top w:val="single" w:sz="6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Efekty uczenia się</w:t>
            </w:r>
          </w:p>
        </w:tc>
        <w:tc>
          <w:tcPr>
            <w:tcW w:w="4852" w:type="dxa"/>
            <w:gridSpan w:val="9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Forma zajęć</w:t>
            </w:r>
          </w:p>
        </w:tc>
      </w:tr>
      <w:tr>
        <w:trPr>
          <w:trHeight w:val="1561" w:hRule="atLeast"/>
          <w:cantSplit w:val="true"/>
        </w:trPr>
        <w:tc>
          <w:tcPr>
            <w:tcW w:w="1778" w:type="dxa"/>
            <w:vMerge w:val="continue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>
            <w:pPr>
              <w:pStyle w:val="Normal"/>
              <w:spacing w:lineRule="auto" w:line="276" w:before="0" w:after="200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3433" w:type="dxa"/>
            <w:gridSpan w:val="3"/>
            <w:vMerge w:val="continue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>
            <w:pPr>
              <w:pStyle w:val="Normal"/>
              <w:spacing w:lineRule="auto" w:line="276" w:before="0" w:after="200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614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Wykład</w:t>
            </w:r>
          </w:p>
        </w:tc>
        <w:tc>
          <w:tcPr>
            <w:tcW w:w="612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b/>
              </w:rPr>
              <w:t>Seminarium</w:t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>Ćwiczenia</w:t>
            </w:r>
          </w:p>
        </w:tc>
        <w:tc>
          <w:tcPr>
            <w:tcW w:w="73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>Ćwiczenia kliniczne</w:t>
            </w:r>
          </w:p>
        </w:tc>
        <w:tc>
          <w:tcPr>
            <w:tcW w:w="48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Symulacje</w:t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E-learning</w:t>
            </w:r>
          </w:p>
        </w:tc>
        <w:tc>
          <w:tcPr>
            <w:tcW w:w="618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PWS</w:t>
            </w:r>
          </w:p>
        </w:tc>
        <w:tc>
          <w:tcPr>
            <w:tcW w:w="562" w:type="dxa"/>
            <w:gridSpan w:val="2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W01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B.W2</w:t>
            </w:r>
          </w:p>
        </w:tc>
        <w:tc>
          <w:tcPr>
            <w:tcW w:w="614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X</w:t>
            </w:r>
          </w:p>
        </w:tc>
        <w:tc>
          <w:tcPr>
            <w:tcW w:w="612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W02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B.W8</w:t>
            </w:r>
          </w:p>
        </w:tc>
        <w:tc>
          <w:tcPr>
            <w:tcW w:w="614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X</w:t>
            </w:r>
          </w:p>
        </w:tc>
        <w:tc>
          <w:tcPr>
            <w:tcW w:w="612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W03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B.W17</w:t>
            </w:r>
          </w:p>
        </w:tc>
        <w:tc>
          <w:tcPr>
            <w:tcW w:w="614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W04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B.W44</w:t>
            </w:r>
          </w:p>
        </w:tc>
        <w:tc>
          <w:tcPr>
            <w:tcW w:w="614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W05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B.W45</w:t>
            </w:r>
          </w:p>
        </w:tc>
        <w:tc>
          <w:tcPr>
            <w:tcW w:w="614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W06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B.W46</w:t>
            </w:r>
          </w:p>
        </w:tc>
        <w:tc>
          <w:tcPr>
            <w:tcW w:w="614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W07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B.W47</w:t>
            </w:r>
          </w:p>
        </w:tc>
        <w:tc>
          <w:tcPr>
            <w:tcW w:w="614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W08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B.W48</w:t>
            </w:r>
          </w:p>
        </w:tc>
        <w:tc>
          <w:tcPr>
            <w:tcW w:w="614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W09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B.W49</w:t>
            </w:r>
          </w:p>
        </w:tc>
        <w:tc>
          <w:tcPr>
            <w:tcW w:w="614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U01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B.U8</w:t>
            </w:r>
          </w:p>
        </w:tc>
        <w:tc>
          <w:tcPr>
            <w:tcW w:w="614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U02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B.U24</w:t>
            </w:r>
          </w:p>
        </w:tc>
        <w:tc>
          <w:tcPr>
            <w:tcW w:w="614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U03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B.U25</w:t>
            </w:r>
          </w:p>
        </w:tc>
        <w:tc>
          <w:tcPr>
            <w:tcW w:w="614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U04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B.U26</w:t>
            </w:r>
          </w:p>
        </w:tc>
        <w:tc>
          <w:tcPr>
            <w:tcW w:w="614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TABELA TREŚCI PROGRAMOWYCH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Lp. treści programowej</w:t>
            </w:r>
          </w:p>
        </w:tc>
        <w:tc>
          <w:tcPr>
            <w:tcW w:w="33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Treści programowe</w:t>
            </w:r>
          </w:p>
        </w:tc>
        <w:tc>
          <w:tcPr>
            <w:tcW w:w="13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Liczba godzin</w:t>
            </w:r>
          </w:p>
        </w:tc>
        <w:tc>
          <w:tcPr>
            <w:tcW w:w="362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Odniesienie do efektów uczenia się do ZAJĘĆ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72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Semestr letni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72" w:hRule="atLeast"/>
        </w:trPr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3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Wykłady:</w:t>
            </w:r>
          </w:p>
        </w:tc>
        <w:tc>
          <w:tcPr>
            <w:tcW w:w="13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2</w:t>
            </w:r>
          </w:p>
        </w:tc>
        <w:tc>
          <w:tcPr>
            <w:tcW w:w="362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</w:t>
            </w:r>
            <w:r>
              <w:rPr>
                <w:rFonts w:eastAsia="Calibri"/>
                <w:u w:val="single"/>
                <w:lang w:eastAsia="en-US"/>
              </w:rPr>
              <w:t>_</w:t>
            </w: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3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Modele i style komunikacji interpersonalnej – sposoby zarządzania i negocjowanie w zespole</w:t>
            </w:r>
          </w:p>
        </w:tc>
        <w:tc>
          <w:tcPr>
            <w:tcW w:w="13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2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W02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/>
                <w:bCs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b/>
                <w:bCs/>
                <w:i w:val="false"/>
                <w:iCs w:val="false"/>
                <w:lang w:eastAsia="en-US"/>
              </w:rPr>
              <w:t>Ćwiczenia: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b/>
                <w:bCs/>
              </w:rPr>
            </w:pPr>
            <w:r>
              <w:rPr>
                <w:b/>
                <w:bCs/>
              </w:rPr>
              <w:t>28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_1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Identyfikacja barier komunikacyjnych – trening komunikacji w zespole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W01-W09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_2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 xml:space="preserve">Podstawy zarządzania 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zespołem w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 xml:space="preserve"> zakład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ach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 xml:space="preserve"> opieki zdrowotnej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W01-W09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_3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Struktura skutecznej pracy w zespole – motywacja a interakcje społeczne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2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W01-W09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_4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Funkcjonowanie grupy, organizacji, instytucji, populacji, społeczności i ekosystemu – teoria i ćwiczenia praktyczne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14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U01-U04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_5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Kreatywne rozwiązywanie problemów w zespole i sztuka kompromisu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U01-U04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Zalecana literatura: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Literatura podstawowa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lang w:val="fr-FR" w:eastAsia="en-US"/>
              </w:rPr>
              <w:t xml:space="preserve">1. 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Bielińska I., Jakubczyńska Z. :</w:t>
            </w:r>
            <w:r>
              <w:rPr>
                <w:rFonts w:eastAsia="Calibri"/>
                <w:i/>
                <w:iCs/>
                <w:lang w:val="fr-FR" w:eastAsia="en-US"/>
              </w:rPr>
              <w:t xml:space="preserve">Efektywny zespół. Jak razem osiągnąć więcej ? Strategie budowania silnego zespołu ; 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wyd. Samo sedno, 2016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0" w:type="dxa"/>
            <w:gridSpan w:val="1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i w:val="false"/>
                <w:iCs w:val="false"/>
                <w:lang w:val="fr-FR" w:eastAsia="en-US"/>
              </w:rPr>
              <w:t xml:space="preserve">2. Dobska M., Rogoziński K.: </w:t>
            </w:r>
            <w:r>
              <w:rPr>
                <w:rFonts w:eastAsia="Calibri"/>
                <w:i/>
                <w:iCs/>
                <w:lang w:val="fr-FR" w:eastAsia="en-US"/>
              </w:rPr>
              <w:t>Podstawy zarządzania zakładem opieki zdrowotnej 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; Wyd. Nukowe PWN, Warszawa 2008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Literatura uzupełniająca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1. Kwaśniewska J. M.: </w:t>
            </w:r>
            <w:r>
              <w:rPr>
                <w:rFonts w:eastAsia="Calibri"/>
                <w:i/>
                <w:iCs/>
                <w:lang w:eastAsia="en-US"/>
              </w:rPr>
              <w:t>Droga do kreacji, czyli trening twórczości XXI wieku</w:t>
            </w:r>
            <w:r>
              <w:rPr>
                <w:rFonts w:eastAsia="Calibri"/>
                <w:i w:val="false"/>
                <w:iCs w:val="false"/>
                <w:lang w:eastAsia="en-US"/>
              </w:rPr>
              <w:t>; Wyd. Naukowe PWN, Warszawa 2023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0" w:type="dxa"/>
            <w:gridSpan w:val="1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lang w:val="fr-FR" w:eastAsia="en-US"/>
              </w:rPr>
              <w:t xml:space="preserve">2. Sanchez R., Bullock D.: </w:t>
            </w:r>
            <w:r>
              <w:rPr>
                <w:rFonts w:eastAsia="Calibri"/>
                <w:i/>
                <w:iCs/>
                <w:lang w:val="fr-FR" w:eastAsia="en-US"/>
              </w:rPr>
              <w:t>Jak komunikować się efektywnie? Paszport do komunikacji globalnej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; wyd. Rebis, Poznań 2022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0" w:type="dxa"/>
            <w:gridSpan w:val="1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i w:val="false"/>
                <w:iCs w:val="false"/>
                <w:lang w:val="fr-FR" w:eastAsia="en-US"/>
              </w:rPr>
              <w:t xml:space="preserve">3. Duhigg C.: </w:t>
            </w:r>
            <w:r>
              <w:rPr>
                <w:rFonts w:eastAsia="Calibri"/>
                <w:i/>
                <w:iCs/>
                <w:lang w:val="fr-FR" w:eastAsia="en-US"/>
              </w:rPr>
              <w:t>Siła komunikacji 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; Wyd. Naukowe PWN, Warszawa 2024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Nakład pracy studenta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584" w:hRule="atLeast"/>
        </w:trPr>
        <w:tc>
          <w:tcPr>
            <w:tcW w:w="462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Forma nakładu pracy studenta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(udział w zajęciach, aktywność, przygotowanie sprawozdania, itp.)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Obciążenie studenta [h]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</w:tr>
      <w:tr>
        <w:trPr>
          <w:trHeight w:val="584" w:hRule="atLeast"/>
        </w:trPr>
        <w:tc>
          <w:tcPr>
            <w:tcW w:w="4624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 ocenie (opinii) nauczyciela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Godziny kontaktowe z nauczycielem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E-learning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do ćwiczeń/seminarium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Czytanie wskazanej literatury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prac pisemnych (zadań)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5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do kolokwium/kartkówki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do testu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Sumaryczne obciążenie pracy studenta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35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Punkty ECTS</w:t>
            </w:r>
          </w:p>
        </w:tc>
        <w:tc>
          <w:tcPr>
            <w:tcW w:w="5436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Uwagi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FORMA ZALICZENIA:</w:t>
            </w:r>
          </w:p>
          <w:p>
            <w:pPr>
              <w:pStyle w:val="Normal"/>
              <w:rPr>
                <w:rFonts w:ascii="Times New Roman" w:hAnsi="Times New Roman"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  <w:t>Zaliczenie zadania zleconego przez wykładowcę ocenionego zgodnie z wytycznymi przedstawionymi na pierwszych zajęciach.</w:t>
            </w:r>
          </w:p>
          <w:p>
            <w:pPr>
              <w:pStyle w:val="Normal"/>
              <w:rPr>
                <w:rFonts w:ascii="Times New Roman" w:hAnsi="Times New Roman"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  <w:t>Obecność i aktywne uczestniczenie zajęciach.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WARUNEK ZALICZENIA:</w:t>
            </w:r>
          </w:p>
          <w:p>
            <w:pPr>
              <w:pStyle w:val="ListParagraph"/>
              <w:numPr>
                <w:ilvl w:val="0"/>
                <w:numId w:val="3"/>
              </w:numPr>
              <w:spacing w:lineRule="auto" w:line="240" w:beforeAutospacing="0" w:before="240" w:afterAutospacing="0" w:after="240"/>
              <w:contextualSpacing/>
              <w:jc w:val="left"/>
              <w:rPr>
                <w:rFonts w:ascii="Times New Roman" w:hAnsi="Times New Roman" w:eastAsia="Times New Roman" w:cs="Times New Roman"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>Wykonanie i prezentacja zadania, odnoszącego się do treści zajęć zgodnie z wytycznymi wykładowcy, przedstawionymi na pierwszych zajęciach,</w:t>
            </w:r>
          </w:p>
          <w:p>
            <w:pPr>
              <w:pStyle w:val="ListParagraph"/>
              <w:numPr>
                <w:ilvl w:val="0"/>
                <w:numId w:val="2"/>
              </w:numPr>
              <w:spacing w:beforeAutospacing="0" w:before="240" w:afterAutospacing="0" w:after="240"/>
              <w:contextualSpacing/>
              <w:rPr>
                <w:rFonts w:ascii="Times New Roman" w:hAnsi="Times New Roman" w:eastAsia="Times New Roman" w:cs="Times New Roman"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>aktywne uczestnictwo w pracach grupowych i indywidualnych podczas zajęć,</w:t>
            </w:r>
          </w:p>
          <w:p>
            <w:pPr>
              <w:pStyle w:val="ListParagraph"/>
              <w:numPr>
                <w:ilvl w:val="0"/>
                <w:numId w:val="1"/>
              </w:numPr>
              <w:spacing w:beforeAutospacing="0" w:before="240" w:afterAutospacing="0" w:after="240"/>
              <w:contextualSpacing/>
              <w:rPr>
                <w:rFonts w:ascii="Times New Roman" w:hAnsi="Times New Roman" w:eastAsia="Times New Roman" w:cs="Times New Roman"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 xml:space="preserve">obecność na wszystkich zajęciach lub usprawiedliwienie oraz nadrobienie nieobecności (w sposób określony przez wykładowcę) </w:t>
            </w:r>
            <w:r>
              <w:rPr>
                <w:rFonts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  <w:t>–</w:t>
            </w: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 xml:space="preserve"> zgodnie z Regulaminem studiów PUM.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</w:tbl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*Przykładowe sposoby weryfikacji efektów kształcenia: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EP – egzamin pisemny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EU - egzamin ustny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ET – egzamin testowy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EPR – egzamin praktyczny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K – kolokwium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R – referat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S – sprawdzenie umiejętności praktycznych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RZĆ – raport z ćwiczeń z dyskusją wyników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O - ocena aktywności i postawy studenta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SL - sprawozdanie laboratoryjne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SP – studium przypadku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PS - ocena umiejętności pracy samodzielnej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W – kartkówka przed rozpoczęciem zajęć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PM – prezentacja multimedialna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i inne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sectPr>
      <w:footerReference w:type="default" r:id="rId5"/>
      <w:type w:val="nextPage"/>
      <w:pgSz w:w="11906" w:h="16838"/>
      <w:pgMar w:left="851" w:right="991" w:gutter="0" w:header="0" w:top="567" w:footer="82" w:bottom="567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Times New Roman">
    <w:charset w:val="ee"/>
    <w:family w:val="roman"/>
    <w:pitch w:val="variable"/>
  </w:font>
  <w:font w:name="Tahoma"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Arial">
    <w:charset w:val="ee"/>
    <w:family w:val="roman"/>
    <w:pitch w:val="variable"/>
  </w:font>
  <w:font w:name="Aptos">
    <w:charset w:val="01"/>
    <w:family w:val="auto"/>
    <w:pitch w:val="default"/>
  </w:font>
  <w:font w:name="Courier New">
    <w:charset w:val="01"/>
    <w:family w:val="modern"/>
    <w:pitch w:val="fixed"/>
  </w:font>
  <w:font w:name="Wingdings">
    <w:charset w:val="02"/>
    <w:family w:val="auto"/>
    <w:pitch w:val="variable"/>
  </w:font>
  <w:font w:name="Times New Roman">
    <w:charset w:val="01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>
        <w:sz w:val="16"/>
      </w:rPr>
    </w:pPr>
    <w:r>
      <w:rPr>
        <w:sz w:val="16"/>
      </w:rPr>
    </w:r>
  </w:p>
  <w:p>
    <w:pPr>
      <w:pStyle w:val="Footer"/>
      <w:jc w:val="right"/>
      <w:rPr>
        <w:sz w:val="16"/>
      </w:rPr>
    </w:pPr>
    <w:r>
      <w:rPr>
        <w:sz w:val="16"/>
      </w:rPr>
      <w:t xml:space="preserve">Strona </w:t>
    </w:r>
    <w:r>
      <w:rPr>
        <w:b/>
        <w:sz w:val="16"/>
      </w:rPr>
      <w:fldChar w:fldCharType="begin"/>
    </w:r>
    <w:r>
      <w:rPr>
        <w:sz w:val="16"/>
        <w:b/>
      </w:rPr>
      <w:instrText xml:space="preserve"> PAGE </w:instrText>
    </w:r>
    <w:r>
      <w:rPr>
        <w:sz w:val="16"/>
        <w:b/>
      </w:rPr>
      <w:fldChar w:fldCharType="separate"/>
    </w:r>
    <w:r>
      <w:rPr>
        <w:sz w:val="16"/>
        <w:b/>
      </w:rPr>
      <w:t>5</w:t>
    </w:r>
    <w:r>
      <w:rPr>
        <w:sz w:val="16"/>
        <w:b/>
      </w:rPr>
      <w:fldChar w:fldCharType="end"/>
    </w:r>
    <w:r>
      <w:rPr>
        <w:sz w:val="16"/>
      </w:rPr>
      <w:t xml:space="preserve"> z </w:t>
    </w:r>
    <w:r>
      <w:rPr>
        <w:b/>
        <w:sz w:val="16"/>
      </w:rPr>
      <w:fldChar w:fldCharType="begin"/>
    </w:r>
    <w:r>
      <w:rPr>
        <w:sz w:val="16"/>
        <w:b/>
      </w:rPr>
      <w:instrText xml:space="preserve"> NUMPAGES </w:instrText>
    </w:r>
    <w:r>
      <w:rPr>
        <w:sz w:val="16"/>
        <w:b/>
      </w:rPr>
      <w:fldChar w:fldCharType="separate"/>
    </w:r>
    <w:r>
      <w:rPr>
        <w:sz w:val="16"/>
        <w:b/>
      </w:rPr>
      <w:t>5</w:t>
    </w:r>
    <w:r>
      <w:rPr>
        <w:sz w:val="16"/>
        <w:b/>
      </w:rPr>
      <w:fldChar w:fldCharType="end"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hAnsi="Aptos" w:cs="Apto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hAnsi="Aptos" w:cs="Apto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hAnsi="Aptos" w:cs="Apto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lvl w:ilvl="0">
      <w:start w:val="1"/>
      <w:numFmt w:val="bullet"/>
      <w:lvlText w:val="□"/>
      <w:lvlJc w:val="center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>
    <w:lvl w:ilvl="0">
      <w:start w:val="1"/>
      <w:numFmt w:val="bullet"/>
      <w:lvlText w:val="□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w="http://schemas.openxmlformats.org/wordprocessingml/2006/main">
  <w:zoom w:percent="110"/>
  <w:embedSystemFonts/>
  <w:defaultTabStop w:val="708"/>
  <w:autoHyphenation w:val="true"/>
  <w:compat>
    <w:doNotBreakWrappedTables/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Times New Roman" w:cs="Times New Roman"/>
        <w:lang w:val="pl-PL" w:eastAsia="ja-JP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567b9"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4"/>
      <w:lang w:val="pl-PL" w:eastAsia="pl-PL" w:bidi="ar-SA"/>
    </w:rPr>
  </w:style>
  <w:style w:type="paragraph" w:styleId="Heading1">
    <w:name w:val="Heading 1"/>
    <w:basedOn w:val="Normal"/>
    <w:next w:val="Normal"/>
    <w:link w:val="Nagwek1Znak"/>
    <w:qFormat/>
    <w:pPr>
      <w:keepNext w:val="true"/>
      <w:outlineLvl w:val="0"/>
    </w:pPr>
    <w:rPr>
      <w:b/>
      <w:bCs/>
    </w:rPr>
  </w:style>
  <w:style w:type="character" w:styleId="DefaultParagraphFont" w:default="1">
    <w:name w:val="Default Paragraph Font"/>
    <w:uiPriority w:val="1"/>
    <w:unhideWhenUsed/>
    <w:qFormat/>
    <w:rPr/>
  </w:style>
  <w:style w:type="character" w:styleId="Hyperlink">
    <w:name w:val="Hyperlink"/>
    <w:uiPriority w:val="99"/>
    <w:unhideWhenUsed/>
    <w:rsid w:val="00ef78c4"/>
    <w:rPr>
      <w:strike w:val="false"/>
      <w:dstrike w:val="false"/>
      <w:color w:val="BE0404"/>
      <w:u w:val="none"/>
      <w:effect w:val="none"/>
    </w:rPr>
  </w:style>
  <w:style w:type="character" w:styleId="Annotationreference">
    <w:name w:val="annotation reference"/>
    <w:uiPriority w:val="99"/>
    <w:semiHidden/>
    <w:unhideWhenUsed/>
    <w:qFormat/>
    <w:rsid w:val="00c02770"/>
    <w:rPr>
      <w:sz w:val="16"/>
      <w:szCs w:val="16"/>
    </w:rPr>
  </w:style>
  <w:style w:type="character" w:styleId="TekstkomentarzaZnak" w:customStyle="1">
    <w:name w:val="Tekst komentarza Znak"/>
    <w:basedOn w:val="DefaultParagraphFont"/>
    <w:link w:val="Annotationtext"/>
    <w:uiPriority w:val="99"/>
    <w:semiHidden/>
    <w:qFormat/>
    <w:rsid w:val="00c02770"/>
    <w:rPr/>
  </w:style>
  <w:style w:type="character" w:styleId="TematkomentarzaZnak" w:customStyle="1">
    <w:name w:val="Temat komentarza Znak"/>
    <w:link w:val="Annotationsubject"/>
    <w:uiPriority w:val="99"/>
    <w:semiHidden/>
    <w:qFormat/>
    <w:rsid w:val="00c02770"/>
    <w:rPr>
      <w:b/>
      <w:bCs/>
    </w:rPr>
  </w:style>
  <w:style w:type="character" w:styleId="TekstdymkaZnak" w:customStyle="1">
    <w:name w:val="Tekst dymka Znak"/>
    <w:link w:val="BalloonText"/>
    <w:uiPriority w:val="99"/>
    <w:semiHidden/>
    <w:qFormat/>
    <w:rsid w:val="00c02770"/>
    <w:rPr>
      <w:rFonts w:ascii="Tahoma" w:hAnsi="Tahoma" w:cs="Tahoma"/>
      <w:sz w:val="16"/>
      <w:szCs w:val="16"/>
    </w:rPr>
  </w:style>
  <w:style w:type="character" w:styleId="TekstprzypisudolnegoZnak" w:customStyle="1">
    <w:name w:val="Tekst przypisu dolnego Znak"/>
    <w:basedOn w:val="DefaultParagraphFont"/>
    <w:uiPriority w:val="99"/>
    <w:semiHidden/>
    <w:qFormat/>
    <w:rsid w:val="00190dc4"/>
    <w:rPr/>
  </w:style>
  <w:style w:type="character" w:styleId="Znakiprzypiswdolnych">
    <w:name w:val="Znaki przypisów dolnych"/>
    <w:uiPriority w:val="99"/>
    <w:semiHidden/>
    <w:unhideWhenUsed/>
    <w:qFormat/>
    <w:rsid w:val="00190dc4"/>
    <w:rPr>
      <w:vertAlign w:val="superscript"/>
    </w:rPr>
  </w:style>
  <w:style w:type="character" w:styleId="FootnoteReference">
    <w:name w:val="Footnote Reference"/>
    <w:rPr>
      <w:vertAlign w:val="superscript"/>
    </w:rPr>
  </w:style>
  <w:style w:type="character" w:styleId="Nagwek1Znak" w:customStyle="1">
    <w:name w:val="Nagłówek 1 Znak"/>
    <w:qFormat/>
    <w:rsid w:val="00190dc4"/>
    <w:rPr>
      <w:b/>
      <w:bCs/>
      <w:sz w:val="24"/>
      <w:szCs w:val="24"/>
    </w:rPr>
  </w:style>
  <w:style w:type="character" w:styleId="NagwekZnak" w:customStyle="1">
    <w:name w:val="Nagłówek Znak"/>
    <w:uiPriority w:val="99"/>
    <w:qFormat/>
    <w:rsid w:val="00146b7d"/>
    <w:rPr>
      <w:sz w:val="24"/>
      <w:szCs w:val="24"/>
    </w:rPr>
  </w:style>
  <w:style w:type="character" w:styleId="StopkaZnak" w:customStyle="1">
    <w:name w:val="Stopka Znak"/>
    <w:uiPriority w:val="99"/>
    <w:qFormat/>
    <w:rsid w:val="00146b7d"/>
    <w:rPr>
      <w:sz w:val="24"/>
      <w:szCs w:val="24"/>
    </w:rPr>
  </w:style>
  <w:style w:type="character" w:styleId="TekstprzypisukocowegoZnak" w:customStyle="1">
    <w:name w:val="Tekst przypisu końcowego Znak"/>
    <w:basedOn w:val="DefaultParagraphFont"/>
    <w:uiPriority w:val="99"/>
    <w:semiHidden/>
    <w:qFormat/>
    <w:rsid w:val="00942aac"/>
    <w:rPr/>
  </w:style>
  <w:style w:type="character" w:styleId="Znakiprzypiswkocowych">
    <w:name w:val="Znaki przypisów końcowych"/>
    <w:uiPriority w:val="99"/>
    <w:semiHidden/>
    <w:unhideWhenUsed/>
    <w:qFormat/>
    <w:rsid w:val="00942aac"/>
    <w:rPr>
      <w:vertAlign w:val="superscript"/>
    </w:rPr>
  </w:style>
  <w:style w:type="character" w:styleId="EndnoteReference">
    <w:name w:val="Endnote Reference"/>
    <w:rPr>
      <w:vertAlign w:val="superscript"/>
    </w:rPr>
  </w:style>
  <w:style w:type="character" w:styleId="UnresolvedMention">
    <w:name w:val="Unresolved Mention"/>
    <w:uiPriority w:val="99"/>
    <w:semiHidden/>
    <w:unhideWhenUsed/>
    <w:qFormat/>
    <w:rsid w:val="00c162a4"/>
    <w:rPr>
      <w:color w:val="605E5C"/>
      <w:shd w:fill="E1DFDD" w:val="clear"/>
    </w:rPr>
  </w:style>
  <w:style w:type="paragraph" w:styleId="Nagwek">
    <w:name w:val="Nagłówek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192"/>
    </w:pPr>
    <w:rPr>
      <w:rFonts w:ascii="Arial" w:hAnsi="Arial" w:cs="Arial"/>
      <w:sz w:val="28"/>
      <w:szCs w:val="20"/>
    </w:rPr>
  </w:style>
  <w:style w:type="paragraph" w:styleId="List">
    <w:name w:val="List"/>
    <w:basedOn w:val="BodyText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Lucida Sans"/>
    </w:rPr>
  </w:style>
  <w:style w:type="paragraph" w:styleId="BodyTextIndent">
    <w:name w:val="Body Text Indent"/>
    <w:basedOn w:val="Normal"/>
    <w:pPr>
      <w:spacing w:lineRule="auto" w:line="192"/>
      <w:ind w:left="360"/>
    </w:pPr>
    <w:rPr>
      <w:rFonts w:ascii="Arial" w:hAnsi="Arial" w:cs="Arial"/>
      <w:sz w:val="28"/>
      <w:szCs w:val="20"/>
    </w:rPr>
  </w:style>
  <w:style w:type="paragraph" w:styleId="NormalWeb">
    <w:name w:val="Normal (Web)"/>
    <w:basedOn w:val="Normal"/>
    <w:uiPriority w:val="99"/>
    <w:qFormat/>
    <w:rsid w:val="00e30deb"/>
    <w:pPr>
      <w:spacing w:beforeAutospacing="1" w:afterAutospacing="1"/>
    </w:pPr>
    <w:rPr/>
  </w:style>
  <w:style w:type="paragraph" w:styleId="Annotationtext">
    <w:name w:val="annotation text"/>
    <w:basedOn w:val="Normal"/>
    <w:link w:val="TekstkomentarzaZnak"/>
    <w:uiPriority w:val="99"/>
    <w:semiHidden/>
    <w:unhideWhenUsed/>
    <w:qFormat/>
    <w:rsid w:val="00c02770"/>
    <w:pPr/>
    <w:rPr>
      <w:sz w:val="20"/>
      <w:szCs w:val="20"/>
    </w:rPr>
  </w:style>
  <w:style w:type="paragraph" w:styleId="Annotationsubject">
    <w:name w:val="annotation subject"/>
    <w:basedOn w:val="Annotationtext"/>
    <w:next w:val="Annotationtext"/>
    <w:link w:val="TematkomentarzaZnak"/>
    <w:uiPriority w:val="99"/>
    <w:semiHidden/>
    <w:unhideWhenUsed/>
    <w:qFormat/>
    <w:rsid w:val="00c02770"/>
    <w:pPr/>
    <w:rPr>
      <w:b/>
      <w:bCs/>
    </w:rPr>
  </w:style>
  <w:style w:type="paragraph" w:styleId="BalloonText">
    <w:name w:val="Balloon Text"/>
    <w:basedOn w:val="Normal"/>
    <w:link w:val="TekstdymkaZnak"/>
    <w:uiPriority w:val="99"/>
    <w:semiHidden/>
    <w:unhideWhenUsed/>
    <w:qFormat/>
    <w:rsid w:val="00c02770"/>
    <w:pPr/>
    <w:rPr>
      <w:rFonts w:ascii="Tahoma" w:hAnsi="Tahoma"/>
      <w:sz w:val="16"/>
      <w:szCs w:val="16"/>
    </w:rPr>
  </w:style>
  <w:style w:type="paragraph" w:styleId="FootnoteText">
    <w:name w:val="Footnote Text"/>
    <w:basedOn w:val="Normal"/>
    <w:link w:val="TekstprzypisudolnegoZnak"/>
    <w:uiPriority w:val="99"/>
    <w:semiHidden/>
    <w:unhideWhenUsed/>
    <w:rsid w:val="00190dc4"/>
    <w:pPr/>
    <w:rPr>
      <w:sz w:val="20"/>
      <w:szCs w:val="20"/>
    </w:rPr>
  </w:style>
  <w:style w:type="paragraph" w:styleId="Gwkaistopka">
    <w:name w:val="Główka i stopka"/>
    <w:basedOn w:val="Normal"/>
    <w:qFormat/>
    <w:pPr/>
    <w:rPr/>
  </w:style>
  <w:style w:type="paragraph" w:styleId="Header">
    <w:name w:val="Header"/>
    <w:basedOn w:val="Normal"/>
    <w:link w:val="NagwekZnak"/>
    <w:uiPriority w:val="99"/>
    <w:unhideWhenUsed/>
    <w:rsid w:val="00146b7d"/>
    <w:pPr>
      <w:tabs>
        <w:tab w:val="clear" w:pos="708"/>
        <w:tab w:val="center" w:pos="4536" w:leader="none"/>
        <w:tab w:val="right" w:pos="9072" w:leader="none"/>
      </w:tabs>
    </w:pPr>
    <w:rPr/>
  </w:style>
  <w:style w:type="paragraph" w:styleId="Footer">
    <w:name w:val="Footer"/>
    <w:basedOn w:val="Normal"/>
    <w:link w:val="StopkaZnak"/>
    <w:uiPriority w:val="99"/>
    <w:unhideWhenUsed/>
    <w:rsid w:val="00146b7d"/>
    <w:pPr>
      <w:tabs>
        <w:tab w:val="clear" w:pos="708"/>
        <w:tab w:val="center" w:pos="4536" w:leader="none"/>
        <w:tab w:val="right" w:pos="9072" w:leader="none"/>
      </w:tabs>
    </w:pPr>
    <w:rPr/>
  </w:style>
  <w:style w:type="paragraph" w:styleId="EndnoteText">
    <w:name w:val="Endnote Text"/>
    <w:basedOn w:val="Normal"/>
    <w:link w:val="TekstprzypisukocowegoZnak"/>
    <w:uiPriority w:val="99"/>
    <w:semiHidden/>
    <w:unhideWhenUsed/>
    <w:rsid w:val="00942aac"/>
    <w:pPr/>
    <w:rPr>
      <w:sz w:val="20"/>
      <w:szCs w:val="20"/>
    </w:rPr>
  </w:style>
  <w:style w:type="paragraph" w:styleId="ListParagraph">
    <w:name w:val="List Paragraph"/>
    <w:basedOn w:val="Normal"/>
    <w:uiPriority w:val="34"/>
    <w:qFormat/>
    <w:rsid w:val="3fff7563"/>
    <w:pPr>
      <w:spacing w:before="0" w:after="0"/>
      <w:ind w:left="720"/>
      <w:contextualSpacing/>
    </w:pPr>
    <w:rPr/>
  </w:style>
  <w:style w:type="paragraph" w:styleId="Zawartotabeli">
    <w:name w:val="Zawartość tabeli"/>
    <w:basedOn w:val="Normal"/>
    <w:qFormat/>
    <w:pPr>
      <w:widowControl w:val="false"/>
      <w:suppressLineNumbers/>
    </w:pPr>
    <w:rPr/>
  </w:style>
  <w:style w:type="paragraph" w:styleId="Nagwektabeli">
    <w:name w:val="Nagłówek tabeli"/>
    <w:basedOn w:val="Zawartotabeli"/>
    <w:qFormat/>
    <w:pPr>
      <w:suppressLineNumbers/>
      <w:jc w:val="center"/>
    </w:pPr>
    <w:rPr>
      <w:b/>
      <w:bCs/>
    </w:rPr>
  </w:style>
  <w:style w:type="numbering" w:styleId="NoList" w:default="1">
    <w:name w:val="No List"/>
    <w:uiPriority w:val="99"/>
    <w:semiHidden/>
    <w:unhideWhenUsed/>
    <w:qFormat/>
  </w:style>
  <w:style w:type="table" w:default="1" w:styleId="Standardowy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oleObject" Target="embeddings/oleObject1.bin"/><Relationship Id="rId4" Type="http://schemas.openxmlformats.org/officeDocument/2006/relationships/image" Target="media/image2.wmf"/><Relationship Id="rId5" Type="http://schemas.openxmlformats.org/officeDocument/2006/relationships/footer" Target="footer1.xml"/><Relationship Id="rId6" Type="http://schemas.openxmlformats.org/officeDocument/2006/relationships/numbering" Target="numbering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<Relationship Id="rId10" Type="http://schemas.openxmlformats.org/officeDocument/2006/relationships/customXml" Target="../customXml/item1.xml"/><Relationship Id="rId11" Type="http://schemas.openxmlformats.org/officeDocument/2006/relationships/customXml" Target="../customXml/item2.xml"/><Relationship Id="rId12" Type="http://schemas.openxmlformats.org/officeDocument/2006/relationships/customXml" Target="../customXml/item3.xml"/>
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_rels/item2.xml.rels><?xml version="1.0" encoding="UTF-8"?>
<Relationships xmlns="http://schemas.openxmlformats.org/package/2006/relationships"><Relationship Id="rId1" Type="http://schemas.openxmlformats.org/officeDocument/2006/relationships/customXmlProps" Target="itemProps2.xml"/>
</Relationships>
</file>

<file path=customXml/_rels/item3.xml.rels><?xml version="1.0" encoding="UTF-8"?>
<Relationships xmlns="http://schemas.openxmlformats.org/package/2006/relationships"><Relationship Id="rId1" Type="http://schemas.openxmlformats.org/officeDocument/2006/relationships/customXmlProps" Target="itemProps3.xml"/>
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689397B8C4AAF4189A18E80A80654D9" ma:contentTypeVersion="5" ma:contentTypeDescription="Utwórz nowy dokument." ma:contentTypeScope="" ma:versionID="0debe9759c2a2cb343042fd66e72a72b">
  <xsd:schema xmlns:xsd="http://www.w3.org/2001/XMLSchema" xmlns:xs="http://www.w3.org/2001/XMLSchema" xmlns:p="http://schemas.microsoft.com/office/2006/metadata/properties" xmlns:ns2="8c6066ec-3877-49a3-b10c-18a72d7ac718" xmlns:ns3="ddb6f9a8-8ab6-4529-a38f-becb8a5be8a1" targetNamespace="http://schemas.microsoft.com/office/2006/metadata/properties" ma:root="true" ma:fieldsID="0822d46b83362b463dbde8b694a5b118" ns2:_="" ns3:_="">
    <xsd:import namespace="8c6066ec-3877-49a3-b10c-18a72d7ac718"/>
    <xsd:import namespace="ddb6f9a8-8ab6-4529-a38f-becb8a5be8a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6066ec-3877-49a3-b10c-18a72d7ac7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b6f9a8-8ab6-4529-a38f-becb8a5be8a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5796B3-F011-4620-98DC-17FD60367FB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987FAAD-EBB6-4C2E-A962-2EBF78FCC7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c6066ec-3877-49a3-b10c-18a72d7ac718"/>
    <ds:schemaRef ds:uri="ddb6f9a8-8ab6-4529-a38f-becb8a5be8a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FBFD635-B8F0-4EDC-8663-890509AF6B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Application>LibreOffice/7.6.4.1$Windows_X86_64 LibreOffice_project/e19e193f88cd6c0525a17fb7a176ed8e6a3e2aa1</Application>
  <AppVersion>15.0000</AppVersion>
  <Pages>5</Pages>
  <Words>977</Words>
  <Characters>6237</Characters>
  <CharactersWithSpaces>6975</CharactersWithSpaces>
  <Paragraphs>264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2025-02-17T12:00:00Z</dcterms:created>
  <dc:creator>agh</dc:creator>
  <dc:description/>
  <dc:language>pl-PL</dc:language>
  <cp:lastModifiedBy/>
  <cp:lastPrinted>2019-03-28T19:35:00Z</cp:lastPrinted>
  <dcterms:modified xsi:type="dcterms:W3CDTF">2025-09-29T13:45:14Z</dcterms:modified>
  <cp:revision>11</cp:revision>
  <dc:subject/>
  <dc:title>ZARZĄDZENIE REKTORA nr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